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11E" w:rsidRDefault="0092111E" w:rsidP="0092111E">
      <w:pPr>
        <w:jc w:val="both"/>
      </w:pPr>
      <w:r>
        <w:t>Santiago, lunes veintinueve de septiembre de dos mil tres.</w:t>
      </w:r>
    </w:p>
    <w:p w:rsidR="0092111E" w:rsidRDefault="0092111E" w:rsidP="0092111E">
      <w:pPr>
        <w:jc w:val="both"/>
      </w:pPr>
      <w:r>
        <w:t>Vistos:</w:t>
      </w:r>
    </w:p>
    <w:p w:rsidR="0092111E" w:rsidRDefault="0092111E" w:rsidP="0092111E">
      <w:pPr>
        <w:jc w:val="both"/>
      </w:pPr>
      <w:r>
        <w:t xml:space="preserve">Don Ramón </w:t>
      </w:r>
      <w:proofErr w:type="spellStart"/>
      <w:r>
        <w:t>Eluchans</w:t>
      </w:r>
      <w:proofErr w:type="spellEnd"/>
      <w:r>
        <w:t xml:space="preserve"> Olivares, ingeniero comercial, representante legal de Leasing Security S.A., hoy Banco Security S.A., ambos con domicilio en calle Miraflores Nº 178, piso quinto, de esta ciudad, acciona en procedimiento sumario de terminación inmediata del contrato de arrendamiento de bienes muebles en contra de la sociedad “Transportes San Marcos Limitada , representada por don Juan de Dios Verdugo Sepúlveda, factor de comercio, y en contra de este último, en su calidad de codeudor solidario, ambos domiciliados, en calle Exposición Nº 700, también de esta ciudad, fundado en que le arrienda un camión, marca Mercedes </w:t>
      </w:r>
      <w:proofErr w:type="spellStart"/>
      <w:r>
        <w:t>Benz</w:t>
      </w:r>
      <w:proofErr w:type="spellEnd"/>
      <w:r>
        <w:t>, modelo L uno, seis, uno, ocho, E/cincuenta y nueve, nuevo y sin uso, placa única de circulación número RD.2133 7, por la renta total equivalente a la cantidad de U.F. 1398,88 obligándose la parte demandada a pagar dicha renta en 36 cuotas mensuales. La primera de ellas, a contar del 06 de noviembre del ario 1997.</w:t>
      </w:r>
    </w:p>
    <w:p w:rsidR="0092111E" w:rsidRDefault="0092111E" w:rsidP="0092111E">
      <w:pPr>
        <w:jc w:val="both"/>
      </w:pPr>
      <w:r>
        <w:t>Pide se declare terminado el contrato de arrendamiento que los liga, ordenando la entrega de la cosa mueble objeto de esa convención generadora de obligaciones, dentro del plazo de tercero día de notificada la sentencia o en el plazo que el Tribunal determine y se condene al demandado al pago de las rentas adeudadas, las que a la fecha de interposición de la demanda ascienden a U.F.1024,80, incluyéndose en ésta el I.V.A., por cuanto incurrió en mora de pagarlas a partir del mes de abril del año 2000, más intereses penales convenidos, las rentas que se devenguen hasta la entrega, el I.V.A. y costas.</w:t>
      </w:r>
    </w:p>
    <w:p w:rsidR="0092111E" w:rsidRDefault="0092111E" w:rsidP="0092111E">
      <w:pPr>
        <w:jc w:val="both"/>
      </w:pPr>
    </w:p>
    <w:p w:rsidR="0092111E" w:rsidRDefault="0092111E" w:rsidP="0092111E">
      <w:pPr>
        <w:jc w:val="both"/>
      </w:pPr>
      <w:r>
        <w:t xml:space="preserve">Funda su pretensión en que por escritura pública </w:t>
      </w:r>
      <w:proofErr w:type="spellStart"/>
      <w:r>
        <w:t>fedatada</w:t>
      </w:r>
      <w:proofErr w:type="spellEnd"/>
      <w:r>
        <w:t xml:space="preserve"> el 21 de marzo de 1997, por el notario público, don René Benavente Cash, las partes convinieron contrato de leasing del bien mueble, ya individualizado, con opción de compra y cuyo pago se pactó en 36 cuotas mensuales. La primera de ellas por U.F. 51,65; más I.V.A., 23 cuotas de U.F. 28,95 cada una; 6 cuotas de U.F. 54,78; y 6 cuotas de U.F. 58,78, todas ellas, con más I.V.A.</w:t>
      </w:r>
    </w:p>
    <w:p w:rsidR="0092111E" w:rsidRDefault="0092111E" w:rsidP="0092111E">
      <w:pPr>
        <w:jc w:val="both"/>
      </w:pPr>
    </w:p>
    <w:p w:rsidR="0092111E" w:rsidRDefault="0092111E" w:rsidP="0092111E">
      <w:pPr>
        <w:jc w:val="both"/>
      </w:pPr>
      <w:r>
        <w:t>Señala que los contratantes estipularon que en el evento que el arrendatario no efectuara pagos íntegros y oportunos de las rentas, el arrendador tiene derecho a pedir la terminación del contrato, a exigir la restitución del bien arrendado, que se le paguen todas las cuotas vencidas, más las que se devenguen durante la tramitación y hasta la restitución, con más un interés igual al máximo convencional, que es permitido estipular, para operaciones de crédito de dinero reajustables. Y agrega que, a título de cláusula penal, debe pagarle un 90% de las cuotas afectas a la caducidad convencional del plazo.</w:t>
      </w:r>
    </w:p>
    <w:p w:rsidR="0092111E" w:rsidRDefault="0092111E" w:rsidP="0092111E">
      <w:pPr>
        <w:jc w:val="both"/>
      </w:pPr>
    </w:p>
    <w:p w:rsidR="0092111E" w:rsidRDefault="0092111E" w:rsidP="0092111E">
      <w:pPr>
        <w:jc w:val="both"/>
      </w:pPr>
      <w:r>
        <w:lastRenderedPageBreak/>
        <w:t>En fojas 88, se celebró la audiencia de contestación, conciliación y prueba, ratificando el actor la demanda en todas sus partes con costas.</w:t>
      </w:r>
    </w:p>
    <w:p w:rsidR="0092111E" w:rsidRDefault="0092111E" w:rsidP="0092111E">
      <w:pPr>
        <w:jc w:val="both"/>
      </w:pPr>
    </w:p>
    <w:p w:rsidR="0092111E" w:rsidRDefault="0092111E" w:rsidP="0092111E">
      <w:pPr>
        <w:jc w:val="both"/>
      </w:pPr>
      <w:r>
        <w:t xml:space="preserve">Previo a contestar la demanda, la sociedad demandada opone la. </w:t>
      </w:r>
      <w:proofErr w:type="gramStart"/>
      <w:r>
        <w:t>excepción</w:t>
      </w:r>
      <w:proofErr w:type="gramEnd"/>
      <w:r>
        <w:t xml:space="preserve"> de cosa juzgada. En tanto el actor solicita se rechace dicha excepción, porque en la causa rol Nº 3544 99 del Decimocuarto Juzgado Civil, entre las mismas partes, si bien es cierto que el Tribunal a quo, acogió la acción del demandante, por su parte, la </w:t>
      </w:r>
      <w:proofErr w:type="spellStart"/>
      <w:r>
        <w:t>Iltma</w:t>
      </w:r>
      <w:proofErr w:type="spellEnd"/>
      <w:r>
        <w:t>. Corte de Apelaciones, el 11 de enero de 2002, revocó la sentencia, rechazando la acción, por no encontrarse en mora en el pago de las rentas, y las que efectivamente se encontraban insolutas no constituían fundamento bastante para ejercitar la acción de reconvenciones de pago, porque para hacerlo eficazmente, el demandante debía cumplir con la cláusula contractual, décimo quinta, letra d), en orden a que debe comunicar por carta certificada, o por carta entregada por notario público, la determinación de poner fin al contrato.</w:t>
      </w:r>
    </w:p>
    <w:p w:rsidR="0092111E" w:rsidRDefault="0092111E" w:rsidP="0092111E">
      <w:pPr>
        <w:jc w:val="both"/>
      </w:pPr>
    </w:p>
    <w:p w:rsidR="0092111E" w:rsidRDefault="0092111E" w:rsidP="0092111E">
      <w:pPr>
        <w:jc w:val="both"/>
      </w:pPr>
      <w:r>
        <w:t>Contestando la demandada, manifiesta que nada le debe al acreedor, pues las 36 cuotas estipuladas están extinguidas totalmente por el pago. Agrega que el contratante se encuentra en mora es el actor, por cuanto no le ha hecho la tradición del vehículo.</w:t>
      </w:r>
    </w:p>
    <w:p w:rsidR="0092111E" w:rsidRDefault="0092111E" w:rsidP="0092111E">
      <w:pPr>
        <w:jc w:val="both"/>
      </w:pPr>
    </w:p>
    <w:p w:rsidR="0092111E" w:rsidRDefault="0092111E" w:rsidP="0092111E">
      <w:pPr>
        <w:jc w:val="both"/>
      </w:pPr>
      <w:r>
        <w:t>Sostiene, que el demandante no puede solicitar el término del contrato, por incumplimiento de la cláusula décimo quinta letra d) del contrato, en cuanto debió enviarle una carta certificada o remitirle una carta que debe entregarle un notario público la que debe contener su manifestación de voluntad de ponerle fin al contrato.</w:t>
      </w:r>
    </w:p>
    <w:p w:rsidR="0092111E" w:rsidRDefault="0092111E" w:rsidP="0092111E">
      <w:pPr>
        <w:jc w:val="both"/>
      </w:pPr>
    </w:p>
    <w:p w:rsidR="0092111E" w:rsidRDefault="0092111E" w:rsidP="0092111E">
      <w:pPr>
        <w:jc w:val="both"/>
      </w:pPr>
      <w:r>
        <w:t>En la misma audiencia se citó a las partes a conciliación, la que no se produce y se recibió la causa a prueba, rindiéndose la que consta en autos.</w:t>
      </w:r>
    </w:p>
    <w:p w:rsidR="0092111E" w:rsidRDefault="0092111E" w:rsidP="0092111E">
      <w:pPr>
        <w:jc w:val="both"/>
      </w:pPr>
    </w:p>
    <w:p w:rsidR="0092111E" w:rsidRDefault="0092111E" w:rsidP="0092111E">
      <w:pPr>
        <w:jc w:val="both"/>
      </w:pPr>
      <w:r>
        <w:t>En foja 94, se citó a las partes a oír sentencia.</w:t>
      </w:r>
    </w:p>
    <w:p w:rsidR="0092111E" w:rsidRDefault="0092111E" w:rsidP="0092111E">
      <w:pPr>
        <w:jc w:val="both"/>
      </w:pPr>
    </w:p>
    <w:p w:rsidR="0092111E" w:rsidRDefault="0092111E" w:rsidP="0092111E">
      <w:pPr>
        <w:jc w:val="both"/>
      </w:pPr>
      <w:r>
        <w:t>Considerando:</w:t>
      </w:r>
    </w:p>
    <w:p w:rsidR="0092111E" w:rsidRDefault="0092111E" w:rsidP="0092111E">
      <w:pPr>
        <w:jc w:val="both"/>
      </w:pPr>
    </w:p>
    <w:p w:rsidR="0092111E" w:rsidRDefault="0092111E" w:rsidP="0092111E">
      <w:pPr>
        <w:jc w:val="both"/>
      </w:pPr>
      <w:r>
        <w:t xml:space="preserve">Primero: Que don Ramón </w:t>
      </w:r>
      <w:proofErr w:type="spellStart"/>
      <w:r>
        <w:t>Eluchans</w:t>
      </w:r>
      <w:proofErr w:type="spellEnd"/>
      <w:r>
        <w:t xml:space="preserve"> Olivares, ingeniero comercial, representante legal de Leasing Security S.A., hoy Banco Security S.A., ambos ya individualizados, acciona en </w:t>
      </w:r>
      <w:r>
        <w:lastRenderedPageBreak/>
        <w:t xml:space="preserve">procedimiento sumario de terminación inmediata del contrato de arrendamiento de bienes muebles en contra de la sociedad “Transportes San Marcos Limitada , representada por don Juan de Dios Verdugo Sepúlveda, ambos también ya individualizados, y en contra de este último, en su calidad de codeudor solidario, fundado en que le arrienda un camión, marca Mercedes </w:t>
      </w:r>
      <w:proofErr w:type="spellStart"/>
      <w:r>
        <w:t>Benz</w:t>
      </w:r>
      <w:proofErr w:type="spellEnd"/>
      <w:r>
        <w:t xml:space="preserve">, modelo L uno, seis, uno, ocho, E/ cincuenta y nueve, nuevo y sin uso, placa única de circulación número RD 2133 7, por la renta total equivalente a la cantidad de U..F. 1398,88 obligándose la parte demandada a pagar dicha renta en 36 cuotas mensuales, la primera de ellas, a contar del 06 de noviembre del </w:t>
      </w:r>
      <w:proofErr w:type="spellStart"/>
      <w:r>
        <w:t>ano</w:t>
      </w:r>
      <w:proofErr w:type="spellEnd"/>
      <w:r>
        <w:t xml:space="preserve"> 1997, conforme a los fundamentos expresados en la primera parte de esta sentencia; </w:t>
      </w:r>
    </w:p>
    <w:p w:rsidR="0092111E" w:rsidRDefault="0092111E" w:rsidP="0092111E">
      <w:pPr>
        <w:jc w:val="both"/>
      </w:pPr>
    </w:p>
    <w:p w:rsidR="0092111E" w:rsidRDefault="0092111E" w:rsidP="0092111E">
      <w:pPr>
        <w:jc w:val="both"/>
      </w:pPr>
      <w:r>
        <w:t xml:space="preserve">Segundo: Que el demandado, en la audiencia de contestación, conciliación y prueba, opuso la excepción de cosa juzgada, por los argumentos expuestos en la primera parte de esta sentencia; </w:t>
      </w:r>
    </w:p>
    <w:p w:rsidR="0092111E" w:rsidRDefault="0092111E" w:rsidP="0092111E">
      <w:pPr>
        <w:jc w:val="both"/>
      </w:pPr>
    </w:p>
    <w:p w:rsidR="0092111E" w:rsidRDefault="0092111E" w:rsidP="0092111E">
      <w:pPr>
        <w:jc w:val="both"/>
      </w:pPr>
      <w:r>
        <w:t>Tercero: Que para acreditar los fundamentos de su acción, el actor acompañó a foja 1, del cuaderno de medida cautelar, en forma legal, los siguientes instrumentos:</w:t>
      </w:r>
    </w:p>
    <w:p w:rsidR="0092111E" w:rsidRDefault="0092111E" w:rsidP="0092111E">
      <w:pPr>
        <w:jc w:val="both"/>
      </w:pPr>
    </w:p>
    <w:p w:rsidR="0092111E" w:rsidRDefault="0092111E" w:rsidP="0092111E">
      <w:pPr>
        <w:jc w:val="both"/>
      </w:pPr>
      <w:r>
        <w:t xml:space="preserve">a) Fotocopia de escritura pública </w:t>
      </w:r>
      <w:proofErr w:type="spellStart"/>
      <w:r>
        <w:t>fedatada</w:t>
      </w:r>
      <w:proofErr w:type="spellEnd"/>
      <w:r>
        <w:t xml:space="preserve"> el 21 de marzo de 1997, por el Notario don René Benavente Cash, que da cuenta del contrato atípico celebrado entre las partes, con el que se demuestra el vínculo contractual; el lapso de duración del contrato; que la cosa arrendada es el bien mueble singularizado, en la parte expositiva de esta sentencia; la renta estipulada y su forma de pago, más la obligación aneja que asume el demandado de pagar el impuesto al valor agregado y la indemnización de perjuicios moratoria, equivalente al interés máximo convencional, vigente al momento del retardo, para operaciones de crédito de dinero reajustables, de acuerdo a la variación de la unidad de fomento, a contar del retardo o mora, hasta el pago total de lo adeudado. La caducidad convencional del plazo estipulado a fin de obtener la restitución inmediata de la cosa materia del contrato, como asimismo el derecho de exigir el pago de la totalidad de las cuotas devengadas, además de la facultad del acreedor para obtener también el pago de las restantes; </w:t>
      </w:r>
    </w:p>
    <w:p w:rsidR="0092111E" w:rsidRDefault="0092111E" w:rsidP="0092111E">
      <w:pPr>
        <w:jc w:val="both"/>
      </w:pPr>
    </w:p>
    <w:p w:rsidR="0092111E" w:rsidRDefault="0092111E" w:rsidP="0092111E">
      <w:pPr>
        <w:jc w:val="both"/>
      </w:pPr>
      <w:r>
        <w:t xml:space="preserve">b) En fojas 11 del cuaderno de medida prejudicial, certificado de inscripción del vehículo objeto del contrato, Nº RD 21337, en el Registro de Vehículos Motorizados del Servicio de Registro Civil e Identificación, a nombre del actor; </w:t>
      </w:r>
    </w:p>
    <w:p w:rsidR="0092111E" w:rsidRDefault="0092111E" w:rsidP="0092111E">
      <w:pPr>
        <w:jc w:val="both"/>
      </w:pPr>
    </w:p>
    <w:p w:rsidR="0092111E" w:rsidRDefault="0092111E" w:rsidP="0092111E">
      <w:pPr>
        <w:jc w:val="both"/>
      </w:pPr>
      <w:r>
        <w:lastRenderedPageBreak/>
        <w:t xml:space="preserve">c) Fotocopia de escritura pública de 02 de abril de 2001, </w:t>
      </w:r>
      <w:proofErr w:type="spellStart"/>
      <w:r>
        <w:t>fedatada</w:t>
      </w:r>
      <w:proofErr w:type="spellEnd"/>
      <w:r>
        <w:t xml:space="preserve"> por el notario don Patricio </w:t>
      </w:r>
      <w:proofErr w:type="spellStart"/>
      <w:r>
        <w:t>Raby</w:t>
      </w:r>
      <w:proofErr w:type="spellEnd"/>
      <w:r>
        <w:t xml:space="preserve"> Benavente, anotada en su repertorio con el Nº 1228 2001, en la que consta la disolución de la sociedad Leasing Security S.A. cuyo causahabiente es el Banco Security S.A.; </w:t>
      </w:r>
    </w:p>
    <w:p w:rsidR="0092111E" w:rsidRDefault="0092111E" w:rsidP="0092111E">
      <w:pPr>
        <w:jc w:val="both"/>
      </w:pPr>
    </w:p>
    <w:p w:rsidR="0092111E" w:rsidRDefault="0092111E" w:rsidP="0092111E">
      <w:pPr>
        <w:jc w:val="both"/>
      </w:pPr>
      <w:r>
        <w:t xml:space="preserve">d) En forja 46 y 47, fotocopia autorizada de carta certificada, de 24 de mayo de 2002, expedida por el subgerente División Leasing, del Banco Security y dirigida a quien a la sazón, detentaba frente a terceros la representación legal de la sociedad demandada, que a la postre resultó acreditado en este juicio, no ser su representante, y en que invocó como causal de término del contrato, el término del plazo estipulado, causal que no es coherente ni armónica, con la acción ejercitada en autos; </w:t>
      </w:r>
    </w:p>
    <w:p w:rsidR="0092111E" w:rsidRDefault="0092111E" w:rsidP="0092111E">
      <w:pPr>
        <w:jc w:val="both"/>
      </w:pPr>
    </w:p>
    <w:p w:rsidR="0092111E" w:rsidRDefault="0092111E" w:rsidP="0092111E">
      <w:pPr>
        <w:jc w:val="both"/>
      </w:pPr>
      <w:r>
        <w:t xml:space="preserve">Cuarto: Que aunque no está explicitada la fecha de la entrega del bien, ha de entenderse que ésta se verificó a satisfacción del demandado, en la fecha pactada, esto es el 06 de noviembre del año 1997; </w:t>
      </w:r>
    </w:p>
    <w:p w:rsidR="0092111E" w:rsidRDefault="0092111E" w:rsidP="0092111E">
      <w:pPr>
        <w:jc w:val="both"/>
      </w:pPr>
    </w:p>
    <w:p w:rsidR="0092111E" w:rsidRDefault="0092111E" w:rsidP="0092111E">
      <w:pPr>
        <w:jc w:val="both"/>
      </w:pPr>
      <w:r>
        <w:t>Quinto: Que para acreditar los fundamentos de la excepción opuesta, el demandado acompañó, los instrumentos que pasan a señalarse:</w:t>
      </w:r>
    </w:p>
    <w:p w:rsidR="0092111E" w:rsidRDefault="0092111E" w:rsidP="0092111E">
      <w:pPr>
        <w:jc w:val="both"/>
      </w:pPr>
    </w:p>
    <w:p w:rsidR="0092111E" w:rsidRDefault="0092111E" w:rsidP="0092111E">
      <w:pPr>
        <w:jc w:val="both"/>
      </w:pPr>
      <w:r>
        <w:t xml:space="preserve">a) A fojas 30, fotocopia simple de la sentencia de 24 de enero de 2001, dictada por el señor Juez del Decimocuarto Juzgado Civil, rol Nº 3544 1999, entre las mismas partes, por no pago de las rentas a partir del mes de mayo de 1999, en adelante, y respecto del mismo vehículo objeto del contrato; </w:t>
      </w:r>
    </w:p>
    <w:p w:rsidR="0092111E" w:rsidRDefault="0092111E" w:rsidP="0092111E">
      <w:pPr>
        <w:jc w:val="both"/>
      </w:pPr>
    </w:p>
    <w:p w:rsidR="0092111E" w:rsidRDefault="0092111E" w:rsidP="0092111E">
      <w:pPr>
        <w:jc w:val="both"/>
      </w:pPr>
      <w:r>
        <w:t xml:space="preserve">b) En foja 21, fotocopia autorizada de la sentencia de 11 de enero del 2002, pronunciada por la </w:t>
      </w:r>
      <w:proofErr w:type="spellStart"/>
      <w:r>
        <w:t>Iltma</w:t>
      </w:r>
      <w:proofErr w:type="spellEnd"/>
      <w:r>
        <w:t xml:space="preserve">. Corte de Apelaciones, revocando la dictada por el Tribunal a quo y rechazando la demanda, con costas; </w:t>
      </w:r>
    </w:p>
    <w:p w:rsidR="0092111E" w:rsidRDefault="0092111E" w:rsidP="0092111E">
      <w:pPr>
        <w:jc w:val="both"/>
      </w:pPr>
    </w:p>
    <w:p w:rsidR="0092111E" w:rsidRDefault="0092111E" w:rsidP="0092111E">
      <w:pPr>
        <w:jc w:val="both"/>
      </w:pPr>
      <w:r>
        <w:t>Sexto: Que el acto de preclusión máxima (sentencia), produce el efecto de cosa juzgada, cuando concurre la triple identidad prevista en el artículo 177 del Código de Procedimiento Civil.</w:t>
      </w:r>
    </w:p>
    <w:p w:rsidR="0092111E" w:rsidRDefault="0092111E" w:rsidP="0092111E">
      <w:pPr>
        <w:jc w:val="both"/>
      </w:pPr>
    </w:p>
    <w:p w:rsidR="0092111E" w:rsidRDefault="0092111E" w:rsidP="0092111E">
      <w:pPr>
        <w:jc w:val="both"/>
      </w:pPr>
      <w:r>
        <w:lastRenderedPageBreak/>
        <w:t xml:space="preserve">En efecto, en el caso </w:t>
      </w:r>
      <w:proofErr w:type="spellStart"/>
      <w:r>
        <w:t>sublite</w:t>
      </w:r>
      <w:proofErr w:type="spellEnd"/>
      <w:r>
        <w:t xml:space="preserve">, sólo concurren los presupuestos de los numerales 1º y 3º del citado artículo, y por su carácter de contrato de tracto sucesivo, sobre el cual versa la materia discutida, las rentas que se cobran en la presente </w:t>
      </w:r>
      <w:proofErr w:type="spellStart"/>
      <w:r>
        <w:t>litis</w:t>
      </w:r>
      <w:proofErr w:type="spellEnd"/>
      <w:r>
        <w:t xml:space="preserve">, son las seis últimas, a las que el arrendatario se obligó según el contrato, pues el actor asevera en su demanda, que el arrendatario le adeuda dichos pagos periódicos, a contar del mes de abril del año 2000, es decir que le debe desde la cuota número 31 a la 36 inclusive, por U.F. 28,95, cada una de ellas, lo que asciende a la suma U.F. 173,7, por lo que deberá rechazarse la excepción opuesta; </w:t>
      </w:r>
    </w:p>
    <w:p w:rsidR="0092111E" w:rsidRDefault="0092111E" w:rsidP="0092111E">
      <w:pPr>
        <w:jc w:val="both"/>
      </w:pPr>
    </w:p>
    <w:p w:rsidR="0092111E" w:rsidRDefault="0092111E" w:rsidP="0092111E">
      <w:pPr>
        <w:jc w:val="both"/>
      </w:pPr>
      <w:r>
        <w:t xml:space="preserve">Séptimo: Que correspondiéndole a la demandada demostrar que las rentas que se le cobran las pagó en su integridad, ésta no lo hizo; </w:t>
      </w:r>
    </w:p>
    <w:p w:rsidR="0092111E" w:rsidRDefault="0092111E" w:rsidP="0092111E">
      <w:pPr>
        <w:jc w:val="both"/>
      </w:pPr>
    </w:p>
    <w:p w:rsidR="0092111E" w:rsidRDefault="0092111E" w:rsidP="0092111E">
      <w:pPr>
        <w:jc w:val="both"/>
      </w:pPr>
      <w:r>
        <w:t xml:space="preserve">Octavo: Que no obstante lo razonado en el fundamento inmediatamente precedente, y que todo vínculo contractual tiene fuerza de ley, para connotar con ello, que esta misma norma jurídica particular, tiene fuerza obligatoria, de la misma manera que aquella originada en el poder legislativo, por no haber demostrado el actor, el cumplimiento de lo acordado, en la letra d) de la cláusula décimo quinta del contrato, en cuanto el arrendador debe comunicar al arrendatario, por carta certificada, remitida a través de correos o bien por carta, a través de un notario público, para manifestar su voluntad de poner término al contrato, ésta no lo hizo, lo que obliga a esta sentenciadora a desestimar la demanda; </w:t>
      </w:r>
    </w:p>
    <w:p w:rsidR="0092111E" w:rsidRDefault="0092111E" w:rsidP="0092111E">
      <w:pPr>
        <w:jc w:val="both"/>
      </w:pPr>
    </w:p>
    <w:p w:rsidR="0092111E" w:rsidRDefault="0092111E" w:rsidP="0092111E">
      <w:pPr>
        <w:jc w:val="both"/>
      </w:pPr>
      <w:r>
        <w:t>Y, lo dispuesto además, en los artículos 1437, 1443, 1545, 1546, 1560 y siguientes, 1698, 1699, 1915, 1916, 1938 y 1950 Nº 4 del Código Civil; 139, 144, 160, 170, 342, 346 Nº 3 y 607 y siguientes del Código de Procedimiento Civil, se declara:</w:t>
      </w:r>
    </w:p>
    <w:p w:rsidR="0092111E" w:rsidRDefault="0092111E" w:rsidP="0092111E">
      <w:pPr>
        <w:jc w:val="both"/>
      </w:pPr>
    </w:p>
    <w:p w:rsidR="0092111E" w:rsidRDefault="0092111E" w:rsidP="0092111E">
      <w:pPr>
        <w:jc w:val="both"/>
      </w:pPr>
      <w:r>
        <w:t xml:space="preserve">a) Que se rechaza la excepción de cosa juzgada; </w:t>
      </w:r>
    </w:p>
    <w:p w:rsidR="0092111E" w:rsidRDefault="0092111E" w:rsidP="0092111E">
      <w:pPr>
        <w:jc w:val="both"/>
      </w:pPr>
    </w:p>
    <w:p w:rsidR="0092111E" w:rsidRDefault="0092111E" w:rsidP="0092111E">
      <w:pPr>
        <w:jc w:val="both"/>
      </w:pPr>
      <w:r>
        <w:t xml:space="preserve">b) Que se rechaza en todas sus partes la demanda de foja 1; y </w:t>
      </w:r>
    </w:p>
    <w:p w:rsidR="0092111E" w:rsidRDefault="0092111E" w:rsidP="0092111E">
      <w:pPr>
        <w:jc w:val="both"/>
      </w:pPr>
    </w:p>
    <w:p w:rsidR="0092111E" w:rsidRDefault="0092111E" w:rsidP="0092111E">
      <w:pPr>
        <w:jc w:val="both"/>
      </w:pPr>
      <w:r>
        <w:t>b) Que se condena en costas al actor.</w:t>
      </w:r>
    </w:p>
    <w:p w:rsidR="0092111E" w:rsidRDefault="0092111E" w:rsidP="0092111E">
      <w:pPr>
        <w:jc w:val="both"/>
      </w:pPr>
    </w:p>
    <w:p w:rsidR="0092111E" w:rsidRDefault="0092111E" w:rsidP="0092111E">
      <w:pPr>
        <w:jc w:val="both"/>
      </w:pPr>
      <w:r>
        <w:t>Regístrese.</w:t>
      </w:r>
    </w:p>
    <w:p w:rsidR="0092111E" w:rsidRDefault="0092111E" w:rsidP="0092111E">
      <w:pPr>
        <w:jc w:val="both"/>
      </w:pPr>
    </w:p>
    <w:p w:rsidR="0092111E" w:rsidRDefault="0092111E" w:rsidP="0092111E">
      <w:pPr>
        <w:jc w:val="both"/>
      </w:pPr>
      <w:r>
        <w:t xml:space="preserve">Pronunciada por doña Helga </w:t>
      </w:r>
      <w:proofErr w:type="spellStart"/>
      <w:r>
        <w:t>Marchant</w:t>
      </w:r>
      <w:proofErr w:type="spellEnd"/>
      <w:r>
        <w:t xml:space="preserve"> Bustamante, Juez Titular.</w:t>
      </w:r>
    </w:p>
    <w:p w:rsidR="0092111E" w:rsidRDefault="0092111E" w:rsidP="0092111E">
      <w:pPr>
        <w:jc w:val="both"/>
      </w:pPr>
    </w:p>
    <w:p w:rsidR="0092111E" w:rsidRDefault="0092111E" w:rsidP="0092111E">
      <w:pPr>
        <w:jc w:val="both"/>
      </w:pPr>
      <w:r>
        <w:t>Autorizada por doña Rayen Durán Garay, Secretaria Titular.</w:t>
      </w:r>
    </w:p>
    <w:p w:rsidR="0092111E" w:rsidRDefault="0092111E" w:rsidP="0092111E">
      <w:pPr>
        <w:jc w:val="both"/>
      </w:pPr>
    </w:p>
    <w:p w:rsidR="0092111E" w:rsidRDefault="0092111E" w:rsidP="0092111E">
      <w:pPr>
        <w:jc w:val="both"/>
      </w:pPr>
    </w:p>
    <w:p w:rsidR="0092111E" w:rsidRDefault="0092111E" w:rsidP="0092111E">
      <w:pPr>
        <w:jc w:val="both"/>
      </w:pPr>
    </w:p>
    <w:p w:rsidR="0092111E" w:rsidRDefault="0092111E" w:rsidP="0092111E">
      <w:pPr>
        <w:jc w:val="both"/>
      </w:pPr>
      <w:r>
        <w:t>Santiago, veintinueve de agosto de dos mil siete.</w:t>
      </w:r>
    </w:p>
    <w:p w:rsidR="0092111E" w:rsidRDefault="0092111E" w:rsidP="0092111E">
      <w:pPr>
        <w:jc w:val="both"/>
      </w:pPr>
    </w:p>
    <w:p w:rsidR="0092111E" w:rsidRDefault="0092111E" w:rsidP="0092111E">
      <w:pPr>
        <w:jc w:val="both"/>
      </w:pPr>
      <w:r>
        <w:t>Vistos:</w:t>
      </w:r>
    </w:p>
    <w:p w:rsidR="0092111E" w:rsidRDefault="0092111E" w:rsidP="0092111E">
      <w:pPr>
        <w:jc w:val="both"/>
      </w:pPr>
    </w:p>
    <w:p w:rsidR="0092111E" w:rsidRDefault="0092111E" w:rsidP="0092111E">
      <w:pPr>
        <w:jc w:val="both"/>
      </w:pPr>
      <w:r>
        <w:t>Se confirma la sentencia apelada de veintinueve de septiembre de dos mil tres, escrita a fs. 94 y siguientes.</w:t>
      </w:r>
    </w:p>
    <w:p w:rsidR="0092111E" w:rsidRDefault="0092111E" w:rsidP="0092111E">
      <w:pPr>
        <w:jc w:val="both"/>
      </w:pPr>
    </w:p>
    <w:p w:rsidR="0092111E" w:rsidRDefault="0092111E" w:rsidP="0092111E">
      <w:pPr>
        <w:jc w:val="both"/>
      </w:pPr>
      <w:r>
        <w:t>Regístrese y devuélvase.</w:t>
      </w:r>
    </w:p>
    <w:p w:rsidR="0092111E" w:rsidRDefault="0092111E" w:rsidP="0092111E">
      <w:pPr>
        <w:jc w:val="both"/>
      </w:pPr>
    </w:p>
    <w:p w:rsidR="0092111E" w:rsidRDefault="0092111E" w:rsidP="0092111E">
      <w:pPr>
        <w:jc w:val="both"/>
      </w:pPr>
      <w:r>
        <w:t xml:space="preserve">Pronunciada por la Novena Sala de la Corte de Apelaciones de Santiago, presidida por el Ministro señor Juan Escobar Zepeda y conformada por el Ministro señor Jorge </w:t>
      </w:r>
      <w:proofErr w:type="spellStart"/>
      <w:r>
        <w:t>Dahm</w:t>
      </w:r>
      <w:proofErr w:type="spellEnd"/>
      <w:r>
        <w:t xml:space="preserve"> </w:t>
      </w:r>
      <w:proofErr w:type="spellStart"/>
      <w:r>
        <w:t>Oyarzún</w:t>
      </w:r>
      <w:proofErr w:type="spellEnd"/>
      <w:r>
        <w:t xml:space="preserve"> y el Abogado Integrante señor </w:t>
      </w:r>
      <w:proofErr w:type="spellStart"/>
      <w:r>
        <w:t>Angel</w:t>
      </w:r>
      <w:proofErr w:type="spellEnd"/>
      <w:r>
        <w:t xml:space="preserve"> </w:t>
      </w:r>
      <w:proofErr w:type="spellStart"/>
      <w:r>
        <w:t>Cruchaga</w:t>
      </w:r>
      <w:proofErr w:type="spellEnd"/>
      <w:r>
        <w:t xml:space="preserve"> Gandarillas.</w:t>
      </w:r>
    </w:p>
    <w:p w:rsidR="0092111E" w:rsidRDefault="0092111E" w:rsidP="0092111E">
      <w:pPr>
        <w:jc w:val="both"/>
      </w:pPr>
    </w:p>
    <w:p w:rsidR="0092111E" w:rsidRDefault="0092111E" w:rsidP="0092111E">
      <w:pPr>
        <w:jc w:val="both"/>
      </w:pPr>
      <w:r>
        <w:t>Rol Nº 9.965 2003.</w:t>
      </w:r>
    </w:p>
    <w:p w:rsidR="0092111E" w:rsidRDefault="0092111E" w:rsidP="0092111E">
      <w:pPr>
        <w:jc w:val="both"/>
      </w:pPr>
    </w:p>
    <w:p w:rsidR="0092111E" w:rsidRDefault="0092111E" w:rsidP="0092111E">
      <w:pPr>
        <w:jc w:val="both"/>
      </w:pPr>
    </w:p>
    <w:p w:rsidR="0092111E" w:rsidRDefault="0092111E" w:rsidP="0092111E">
      <w:pPr>
        <w:jc w:val="both"/>
      </w:pPr>
    </w:p>
    <w:p w:rsidR="0092111E" w:rsidRDefault="0092111E" w:rsidP="0092111E">
      <w:pPr>
        <w:jc w:val="both"/>
      </w:pPr>
      <w:r>
        <w:t>Santiago, nueve de diciembre de dos mil ocho.</w:t>
      </w:r>
    </w:p>
    <w:p w:rsidR="0092111E" w:rsidRDefault="0092111E" w:rsidP="0092111E">
      <w:pPr>
        <w:jc w:val="both"/>
      </w:pPr>
    </w:p>
    <w:p w:rsidR="0092111E" w:rsidRDefault="0092111E" w:rsidP="0092111E">
      <w:pPr>
        <w:jc w:val="both"/>
      </w:pPr>
      <w:r>
        <w:lastRenderedPageBreak/>
        <w:t>VISTOS:</w:t>
      </w:r>
    </w:p>
    <w:p w:rsidR="0092111E" w:rsidRDefault="0092111E" w:rsidP="0092111E">
      <w:pPr>
        <w:jc w:val="both"/>
      </w:pPr>
    </w:p>
    <w:p w:rsidR="0092111E" w:rsidRDefault="0092111E" w:rsidP="0092111E">
      <w:pPr>
        <w:jc w:val="both"/>
      </w:pPr>
      <w:r>
        <w:t xml:space="preserve">En estos autos Rol Nº 5.668 2002. </w:t>
      </w:r>
      <w:proofErr w:type="gramStart"/>
      <w:r>
        <w:t>del</w:t>
      </w:r>
      <w:proofErr w:type="gramEnd"/>
      <w:r>
        <w:t xml:space="preserve"> 22º Juzgado Civil de Santiago sobre juicio sumario especial de terminación de contrato de arrendamiento por no pago de rentas y cobro de rentas insolutas, caratulados “Banco Security con Sociedad de Transportes San Marcos , por sentencia de veintinueve de septiembre de dos mil tres, escrita a fojas 94, la señora Juez Titular del referido tribunal rechazó en todas sus partes la demanda interpuesta. Apelado este fallo por el actor, una de las Salas de la Corte de Apelaciones de Santiago, en sentencia de veintinueve de agosto de dos mil siete, que se lee a fojas 125, lo confirmó sin modificaciones.</w:t>
      </w:r>
    </w:p>
    <w:p w:rsidR="0092111E" w:rsidRDefault="0092111E" w:rsidP="0092111E">
      <w:pPr>
        <w:jc w:val="both"/>
      </w:pPr>
    </w:p>
    <w:p w:rsidR="0092111E" w:rsidRDefault="0092111E" w:rsidP="0092111E">
      <w:pPr>
        <w:jc w:val="both"/>
      </w:pPr>
      <w:r>
        <w:t>En contra de esta última decisión la parte demandante ha deducido recurso de casación en el fondo.</w:t>
      </w:r>
    </w:p>
    <w:p w:rsidR="0092111E" w:rsidRDefault="0092111E" w:rsidP="0092111E">
      <w:pPr>
        <w:jc w:val="both"/>
      </w:pPr>
    </w:p>
    <w:p w:rsidR="0092111E" w:rsidRDefault="0092111E" w:rsidP="0092111E">
      <w:pPr>
        <w:jc w:val="both"/>
      </w:pPr>
      <w:r>
        <w:t>Se ordenó traer los autos en relación.</w:t>
      </w:r>
    </w:p>
    <w:p w:rsidR="0092111E" w:rsidRDefault="0092111E" w:rsidP="0092111E">
      <w:pPr>
        <w:jc w:val="both"/>
      </w:pPr>
    </w:p>
    <w:p w:rsidR="0092111E" w:rsidRDefault="0092111E" w:rsidP="0092111E">
      <w:pPr>
        <w:jc w:val="both"/>
      </w:pPr>
      <w:r>
        <w:t>CONSIDERANDO:</w:t>
      </w:r>
    </w:p>
    <w:p w:rsidR="0092111E" w:rsidRDefault="0092111E" w:rsidP="0092111E">
      <w:pPr>
        <w:jc w:val="both"/>
      </w:pPr>
    </w:p>
    <w:p w:rsidR="0092111E" w:rsidRDefault="0092111E" w:rsidP="0092111E">
      <w:pPr>
        <w:jc w:val="both"/>
      </w:pPr>
      <w:r>
        <w:t>PRIMERO: Que en el recurso de casación en el fondo se denuncian infringidos los artículos 1545, 1560, 1489 y 1698 del Código Civil y 346 Nº 3 del Código de Procedimiento Civil.</w:t>
      </w:r>
    </w:p>
    <w:p w:rsidR="0092111E" w:rsidRDefault="0092111E" w:rsidP="0092111E">
      <w:pPr>
        <w:jc w:val="both"/>
      </w:pPr>
    </w:p>
    <w:p w:rsidR="0092111E" w:rsidRDefault="0092111E" w:rsidP="0092111E">
      <w:pPr>
        <w:jc w:val="both"/>
      </w:pPr>
      <w:r>
        <w:t>A juicio del recurrente se ha vulnerado el aludido artículo 1545 porque la sentencia desnaturalizó lo pactado en la letra d) de la cláusula 15ª del contrato, pues la estipulación sólo establece que la remisión de la carta tiene por objeto la terminación del contrato o la exigibilidad de la renta de arrendamiento, no estableciendo como condición esencial para accionar ante la justicia que tal misiva sea remitida.</w:t>
      </w:r>
    </w:p>
    <w:p w:rsidR="0092111E" w:rsidRDefault="0092111E" w:rsidP="0092111E">
      <w:pPr>
        <w:jc w:val="both"/>
      </w:pPr>
    </w:p>
    <w:p w:rsidR="0092111E" w:rsidRDefault="0092111E" w:rsidP="0092111E">
      <w:pPr>
        <w:jc w:val="both"/>
      </w:pPr>
      <w:r>
        <w:t xml:space="preserve">Pues bien, se argumenta en el recurso, lo cierto es que la carta fue enviada por el demandante a la arrendataria y en tal comunicación, precisamente, manifestó en forma clara e inequívoca su intención de poner término al contrato sub lite. Evidentemente, sigue el recurrente, en esa misiva el arrendador resolvió solicitar de la justicia ordinaria la declaración de terminación del arrendamiento suscrito por las partes, independiente de cuál </w:t>
      </w:r>
      <w:r>
        <w:lastRenderedPageBreak/>
        <w:t>haya sido el motivo que lo impulsó para solicitar esa declaración, que no fue otro que la mora de la arrendataria en el pago de las rentas de abril de 2000 en adelante.</w:t>
      </w:r>
    </w:p>
    <w:p w:rsidR="0092111E" w:rsidRDefault="0092111E" w:rsidP="0092111E">
      <w:pPr>
        <w:jc w:val="both"/>
      </w:pPr>
    </w:p>
    <w:p w:rsidR="0092111E" w:rsidRDefault="0092111E" w:rsidP="0092111E">
      <w:pPr>
        <w:jc w:val="both"/>
      </w:pPr>
      <w:r>
        <w:t>Por otra parte, sostiene el recurrente, el fallo contraviene el artículo 1560 del Código Civil pues la verdadera intención de los contratantes fue la de comunicar a la parte incumplidora que el contrato estaba terminado o que se exigía el pago de las rentas. Así las cosas, concluye, al interpretar la cláusula los jueces han exigido requisitos que no fueron previstos por las partes al contratar, esto es, se desnaturalizó la convención al haberse entendido en la sentencia que era necesario el envío de la carta en cuestión para accionar ante los tribunales de justicia, lo que en ningún caso fue así.</w:t>
      </w:r>
    </w:p>
    <w:p w:rsidR="0092111E" w:rsidRDefault="0092111E" w:rsidP="0092111E">
      <w:pPr>
        <w:jc w:val="both"/>
      </w:pPr>
    </w:p>
    <w:p w:rsidR="0092111E" w:rsidRDefault="0092111E" w:rsidP="0092111E">
      <w:pPr>
        <w:jc w:val="both"/>
      </w:pPr>
      <w:r>
        <w:t>El tercer precepto legal que se alega infringido en el recurso es el artículo 1489 del Código Civil y, al efecto, expone el recurrente que tal vulneración se produce al no aplicarse esta disposición, en circunstancias que se configuran todos y cada uno de sus presupuestos de hecho, sin perjuicio que además se había estipulado por las partes un pacto comisorio, en virtud de la cláusula 15ª del arrendamiento, contrato que, también por este motivo, resulta desnaturalizado. Incluso aceptando que la carta no fue remitida, termina el recurso sobre este punto, lo cierto es que de todos modos habría operado la referida cláusula 15ª y con ella el efecto propio de la resolución.</w:t>
      </w:r>
    </w:p>
    <w:p w:rsidR="0092111E" w:rsidRDefault="0092111E" w:rsidP="0092111E">
      <w:pPr>
        <w:jc w:val="both"/>
      </w:pPr>
    </w:p>
    <w:p w:rsidR="0092111E" w:rsidRDefault="0092111E" w:rsidP="0092111E">
      <w:pPr>
        <w:jc w:val="both"/>
      </w:pPr>
      <w:r>
        <w:t>Por último, se dicen en el recurso vulnerados los artículos 1698 del Código Civil y 346 Nº 3 del Código de Procedimiento Civil, pues se desconoce por los sentenciadores valor probatorio a la carta que se envió a la demandada, no obstante que se la tuvo por reconocida y con ello, por acreditado el cumplimiento de la letra d) de la estipulación 15ª.</w:t>
      </w:r>
    </w:p>
    <w:p w:rsidR="0092111E" w:rsidRDefault="0092111E" w:rsidP="0092111E">
      <w:pPr>
        <w:jc w:val="both"/>
      </w:pPr>
    </w:p>
    <w:p w:rsidR="0092111E" w:rsidRDefault="0092111E" w:rsidP="0092111E">
      <w:pPr>
        <w:jc w:val="both"/>
      </w:pPr>
      <w:r>
        <w:t>SEGUNDO: Que el fallo objeto del recurso establece que correspondiéndole a la demandada demostrar que las rentas que se cobran las pagó en su integridad, ésta no lo hizo.</w:t>
      </w:r>
    </w:p>
    <w:p w:rsidR="0092111E" w:rsidRDefault="0092111E" w:rsidP="0092111E">
      <w:pPr>
        <w:jc w:val="both"/>
      </w:pPr>
    </w:p>
    <w:p w:rsidR="0092111E" w:rsidRDefault="0092111E" w:rsidP="0092111E">
      <w:pPr>
        <w:jc w:val="both"/>
      </w:pPr>
      <w:r>
        <w:t xml:space="preserve">No obstante lo anterior –agregan los sentenciadores– y que todo vínculo contractual tiene fuerza de ley, para connotar con ello que esta misma norma jurídica particular tiene fuerza obligatoria de la misma manera que aquélla originada en el Poder Legislativo, por no haber demostrado el actor el cumplimiento de lo acordado en la letra d) de la cláusula 15ª del contrato, en cuanto el arrendador debe comunicar al arrendatario por carta certificada, </w:t>
      </w:r>
      <w:r>
        <w:lastRenderedPageBreak/>
        <w:t>remitida a través de correos o bien por notario público, su voluntad de poner término al contrato, debe desestimarse la demanda.</w:t>
      </w:r>
    </w:p>
    <w:p w:rsidR="0092111E" w:rsidRDefault="0092111E" w:rsidP="0092111E">
      <w:pPr>
        <w:jc w:val="both"/>
      </w:pPr>
    </w:p>
    <w:p w:rsidR="0092111E" w:rsidRDefault="0092111E" w:rsidP="0092111E">
      <w:pPr>
        <w:jc w:val="both"/>
      </w:pPr>
      <w:r>
        <w:t>TERCERO: Que en tanto se trata el presente de un caso de responsabilidad contractual, por incumplimiento de una de las partes de las obligaciones que le impone la convención, correspondía la parte demandante, de conformidad a la regla que al efecto prescribe el inciso 1º del artículo 1698 del Código Civil, probar la existencia de la fuente de la obligación, esto es, del contrato del que emana la prestación que denuncia incumplida y, en cuanto el arrendamiento reviste la naturaleza de contrato bilateral, que ha satisfecho a su vez las obligaciones que a ella le impone este acto jurídico, o estar llana a cumplirlas.</w:t>
      </w:r>
    </w:p>
    <w:p w:rsidR="0092111E" w:rsidRDefault="0092111E" w:rsidP="0092111E">
      <w:pPr>
        <w:jc w:val="both"/>
      </w:pPr>
    </w:p>
    <w:p w:rsidR="0092111E" w:rsidRDefault="0092111E" w:rsidP="0092111E">
      <w:pPr>
        <w:jc w:val="both"/>
      </w:pPr>
      <w:r>
        <w:t>Satisfechas las exigencias anteriores, el peso de la prueba, de acuerdo al mismo precepto citado en al párrafo precedente, se traslada al deudor, quien debe acreditar que esa obligación que se le imputa incumplida se encuentra pagada o extinguida por alguno de los otros modos que prevé el artículo 1567 del aludido cuerpo legal.</w:t>
      </w:r>
    </w:p>
    <w:p w:rsidR="0092111E" w:rsidRDefault="0092111E" w:rsidP="0092111E">
      <w:pPr>
        <w:jc w:val="both"/>
      </w:pPr>
    </w:p>
    <w:p w:rsidR="0092111E" w:rsidRDefault="0092111E" w:rsidP="0092111E">
      <w:pPr>
        <w:jc w:val="both"/>
      </w:pPr>
      <w:r>
        <w:t>CUARTO: Que la existencia del contrato de arrendamiento y la satisfacción de las obligaciones que emanan de éste para el demandante no fue controvertida y, por lo mismo, se tuvo estos hechos por demostrados. Asimismo, el fallo objeto del recurso ha establecido que correspondiéndole a la demandada probar que las rentas que se le cobran las pagó en su integridad, ésta no lo hizo.</w:t>
      </w:r>
    </w:p>
    <w:p w:rsidR="0092111E" w:rsidRDefault="0092111E" w:rsidP="0092111E">
      <w:pPr>
        <w:jc w:val="both"/>
      </w:pPr>
    </w:p>
    <w:p w:rsidR="0092111E" w:rsidRDefault="0092111E" w:rsidP="0092111E">
      <w:pPr>
        <w:jc w:val="both"/>
      </w:pPr>
      <w:r>
        <w:t>QUINTO: Que los hechos anteriores, en cuanto importan tener por acreditado el incumplimiento de la obligación que la ley impone al arrendatario en el inciso 1º del artículo 1942 del Código Civil, tornan plausible la acción ejercida por Banco Security, en orden a pedir la terminación del contrato de arrendamiento y el pago de las rentas insolutas.</w:t>
      </w:r>
    </w:p>
    <w:p w:rsidR="0092111E" w:rsidRDefault="0092111E" w:rsidP="0092111E">
      <w:pPr>
        <w:jc w:val="both"/>
      </w:pPr>
    </w:p>
    <w:p w:rsidR="0092111E" w:rsidRDefault="0092111E" w:rsidP="0092111E">
      <w:pPr>
        <w:jc w:val="both"/>
      </w:pPr>
      <w:r>
        <w:t>No obstante lo anterior, la sentencia recurrida ha desestimado la demanda, pues, en concepto de los magistrados, el arrendador demandante no dio cumplimiento a la exigencia que le imponía la estipulación 15ª de la convención.</w:t>
      </w:r>
    </w:p>
    <w:p w:rsidR="0092111E" w:rsidRDefault="0092111E" w:rsidP="0092111E">
      <w:pPr>
        <w:jc w:val="both"/>
      </w:pPr>
    </w:p>
    <w:p w:rsidR="0092111E" w:rsidRDefault="0092111E" w:rsidP="0092111E">
      <w:pPr>
        <w:jc w:val="both"/>
      </w:pPr>
      <w:r>
        <w:t xml:space="preserve">SEXTO: Que la cláusula 15ª del contrato de arrendamiento con opción de compra celebrado entre Security Leasing S.A. (hoy Banco Security) con Sociedad de Transportes </w:t>
      </w:r>
      <w:r>
        <w:lastRenderedPageBreak/>
        <w:t>San Marcos Limitada por escritura pública de 21 de marzo de 1997, establece en su primera parte que en caso de que la arrendataria no dé íntegro y oportuno cumplimiento a una cualesquiera de las obligaciones que asume en este contrato, Security Leasing S.A. tendrá derecho a ponerle término ipso facto y a exigir inmediatamente el valor de la renta de arrendamiento por el período del total del contrato, cuyas cuotas se considerarán de plazo vencido, sin perjuicio de poder ejercer los demás derechos que le confiere la ley. Agrega la misma estipulación que la terminación de este contrato o la exigibilidad de la renta de arrendamiento, en su caso, conforme lo indicado en esta cláusula, será comunicada por Security Leasing S.A. a la arrendataria por carta certificada, o bien por carta entregada por notario público, y producirá sus efectos a contar del tercer día hábil de la fecha de expedición por correo de dicha carta o en la misma fecha de notificación por notario, según el caso.</w:t>
      </w:r>
    </w:p>
    <w:p w:rsidR="0092111E" w:rsidRDefault="0092111E" w:rsidP="0092111E">
      <w:pPr>
        <w:jc w:val="both"/>
      </w:pPr>
    </w:p>
    <w:p w:rsidR="0092111E" w:rsidRDefault="0092111E" w:rsidP="0092111E">
      <w:pPr>
        <w:jc w:val="both"/>
      </w:pPr>
      <w:r>
        <w:t>SÉPTIMO: Que lo anteriormente estipulado es el denominado pacto comisorio con cláusula de resolución ipso facto.</w:t>
      </w:r>
    </w:p>
    <w:p w:rsidR="0092111E" w:rsidRDefault="0092111E" w:rsidP="0092111E">
      <w:pPr>
        <w:jc w:val="both"/>
      </w:pPr>
    </w:p>
    <w:p w:rsidR="0092111E" w:rsidRDefault="0092111E" w:rsidP="0092111E">
      <w:pPr>
        <w:jc w:val="both"/>
      </w:pPr>
      <w:r>
        <w:t>Ahora bien, este pacto ha sido reglamentado por el Código Civil como uno accesorio al contrato de compraventa y restringido únicamente a la obligación de pagar el precio. La doctrina tradicionalmente ha distinguido entre pacto comisorio simple y pacto comisorio calificado o con cláusula de resolución ipso facto y la misma doctrina y también la jurisprudencia, han afirmado que en virtud del principio de la autonomía de la voluntad pueden las partes estipular el pacto comisorio, sea simple o calificado, en otros contratos distintos de la compraventa o incluso en esta última, pero relativo a la obligación de entregar la cosa. Esto es, según se dijo más arriba, lo que ha ocurrido en el caso de autos, en que las partes acordaron un pacto comisorio con cláusula de resolución ipso facto en un contrato de arrendamiento con opción de compra.</w:t>
      </w:r>
    </w:p>
    <w:p w:rsidR="0092111E" w:rsidRDefault="0092111E" w:rsidP="0092111E">
      <w:pPr>
        <w:jc w:val="both"/>
      </w:pPr>
    </w:p>
    <w:p w:rsidR="0092111E" w:rsidRDefault="0092111E" w:rsidP="0092111E">
      <w:pPr>
        <w:jc w:val="both"/>
      </w:pPr>
      <w:r>
        <w:t xml:space="preserve">OCTAVO: Que sin perjuicio de lo antes indicado, el incumplimiento contractual en que ha incurrido la arrendataria ha hecho operar, en virtud de </w:t>
      </w:r>
      <w:proofErr w:type="spellStart"/>
      <w:r>
        <w:t>l o</w:t>
      </w:r>
      <w:proofErr w:type="spellEnd"/>
      <w:r>
        <w:t xml:space="preserve"> dispuesto en el artículo 1489 del Código Civil, la condición resolutoria envuelta tácitamente en todo contrato bilateral, que en el caso del arrendamiento, por su especial naturaleza de contrato de tracto sucesivo, opera como causal de término o expiración del mismo y no, en estricto rigor, de resolución.</w:t>
      </w:r>
    </w:p>
    <w:p w:rsidR="0092111E" w:rsidRDefault="0092111E" w:rsidP="0092111E">
      <w:pPr>
        <w:jc w:val="both"/>
      </w:pPr>
    </w:p>
    <w:p w:rsidR="0092111E" w:rsidRDefault="0092111E" w:rsidP="0092111E">
      <w:pPr>
        <w:jc w:val="both"/>
      </w:pPr>
      <w:r>
        <w:t xml:space="preserve">Pues bien, el hecho de haber estipulado las partes un pacto comisorio no puede ser obstáculo, como se afirma en el recurso, para el ejercicio de la acción resolutoria que emana de la condición resolutoria tácita y al haberse verificado el hecho de que pendía tal </w:t>
      </w:r>
      <w:r>
        <w:lastRenderedPageBreak/>
        <w:t>condición, según se tuvo por acreditado por los jueces de la instancia, debió la sentencia haber declarado el término del arrendamiento y, consecuencialmente, condenar al pago de las rentas insolutas.</w:t>
      </w:r>
    </w:p>
    <w:p w:rsidR="0092111E" w:rsidRDefault="0092111E" w:rsidP="0092111E">
      <w:pPr>
        <w:jc w:val="both"/>
      </w:pPr>
    </w:p>
    <w:p w:rsidR="0092111E" w:rsidRDefault="0092111E" w:rsidP="0092111E">
      <w:pPr>
        <w:jc w:val="both"/>
      </w:pPr>
      <w:r>
        <w:t>En efecto, si se convino por las partes un pacto comisorio calificado, esto es, con cláusula de resolución ipso facto, y se sujetó la producción de su efecto de resolución o término del contrato de pleno derecho, sin necesidad de declaración judicial, al cumplimiento de alguna otra exigencia suplementaria –en la especie, el envío de una carta certificada o entregada por notario comunicando el término de la convención–, la falta de verificación de esta última condición adicional únicamente puede producir como consecuencia que el efecto propio del pacto no opere, pero no impide que el acreedor diligente, frente al incumplimiento de su deudor, ejerza la acción resolutoria que nace del artículo 1489del Código Civil. Esta última es la situación del caso de autos, en que Security Leasing S.A. ha invocado en su demanda, al enunciar los fundamentos de derecho en que la apoya –en cumplimiento de lo dispuesto en la segunda parte del Nº 4 del artículo 254 del Código de Procedimiento Civil–, precisamente, el citado artículo 1489 del Código Civil.</w:t>
      </w:r>
    </w:p>
    <w:p w:rsidR="0092111E" w:rsidRDefault="0092111E" w:rsidP="0092111E">
      <w:pPr>
        <w:jc w:val="both"/>
      </w:pPr>
    </w:p>
    <w:p w:rsidR="0092111E" w:rsidRDefault="0092111E" w:rsidP="0092111E">
      <w:pPr>
        <w:jc w:val="both"/>
      </w:pPr>
      <w:r>
        <w:t>NOVENO: Que, de este modo, al rechazar la demanda de término de contrato de arrendamiento y pago de rentas insolutas, no obstante encontrarse probada tanto la existencia de la convención como el incumplimiento del deudor, los sentenciadores han infringido el artículo 1489 del Código Civil y, con ello, incurrido en uno de los errores de derecho que se denuncia en el recurso, razón por la cual, al haber influido tal yerro de forma sustancial en lo dispositivo de la decisión, la casación en el fondo intentada debe ser acogida.</w:t>
      </w:r>
    </w:p>
    <w:p w:rsidR="0092111E" w:rsidRDefault="0092111E" w:rsidP="0092111E">
      <w:pPr>
        <w:jc w:val="both"/>
      </w:pPr>
    </w:p>
    <w:p w:rsidR="0092111E" w:rsidRDefault="0092111E" w:rsidP="0092111E">
      <w:pPr>
        <w:jc w:val="both"/>
      </w:pPr>
      <w:r>
        <w:t>Por estas consideraciones y visto, además, lo dispuesto en las normas legales citadas y en los artículos 764, 765, 767 y 805 del Código de Procedimiento Civil, se acoge el recurso de casación en el fondo deducido por la parte demandante en lo principal de la presentación de fojas 126, contra la sentencia de veintinueve de agosto de dos mil siete, escrita a fojas 125, la que se invalida y se reemplaza por la que se dicta acto continuo, sin nueva vista, pero separadamente.</w:t>
      </w:r>
    </w:p>
    <w:p w:rsidR="0092111E" w:rsidRDefault="0092111E" w:rsidP="0092111E">
      <w:pPr>
        <w:jc w:val="both"/>
      </w:pPr>
    </w:p>
    <w:p w:rsidR="0092111E" w:rsidRDefault="0092111E" w:rsidP="0092111E">
      <w:pPr>
        <w:jc w:val="both"/>
      </w:pPr>
      <w:r>
        <w:t>Regístrese.</w:t>
      </w:r>
    </w:p>
    <w:p w:rsidR="0092111E" w:rsidRDefault="0092111E" w:rsidP="0092111E">
      <w:pPr>
        <w:jc w:val="both"/>
      </w:pPr>
    </w:p>
    <w:p w:rsidR="0092111E" w:rsidRDefault="0092111E" w:rsidP="0092111E">
      <w:pPr>
        <w:jc w:val="both"/>
      </w:pPr>
      <w:r>
        <w:lastRenderedPageBreak/>
        <w:t>Redacción a cargo del Ministro señor Juica.</w:t>
      </w:r>
    </w:p>
    <w:p w:rsidR="0092111E" w:rsidRDefault="0092111E" w:rsidP="0092111E">
      <w:pPr>
        <w:jc w:val="both"/>
      </w:pPr>
    </w:p>
    <w:p w:rsidR="0092111E" w:rsidRDefault="0092111E" w:rsidP="0092111E">
      <w:pPr>
        <w:jc w:val="both"/>
      </w:pPr>
      <w:r>
        <w:t>Pronunciado por la Primera Sala de la Corte Suprema por los Ministros Sres. Milton Juica A., Sr. Patricio Valdés A., Sr. Julio Torres A. Sra. Fiscal Mónica Maldonado C. y Abogado Integrante Sr. Óscar Herrera V.</w:t>
      </w:r>
    </w:p>
    <w:p w:rsidR="0092111E" w:rsidRDefault="0092111E" w:rsidP="0092111E">
      <w:pPr>
        <w:jc w:val="both"/>
      </w:pPr>
    </w:p>
    <w:p w:rsidR="0092111E" w:rsidRDefault="0092111E" w:rsidP="0092111E">
      <w:pPr>
        <w:jc w:val="both"/>
      </w:pPr>
      <w:r>
        <w:t>No firma el Abogado Integrante Sr. Herrera, no obstante haber concurrido a la vista del recurso y acuerdo del fallo, por estar ausente.</w:t>
      </w:r>
    </w:p>
    <w:p w:rsidR="0092111E" w:rsidRDefault="0092111E" w:rsidP="0092111E">
      <w:pPr>
        <w:jc w:val="both"/>
      </w:pPr>
    </w:p>
    <w:p w:rsidR="0092111E" w:rsidRDefault="0092111E" w:rsidP="0092111E">
      <w:pPr>
        <w:jc w:val="both"/>
      </w:pPr>
      <w:r>
        <w:t xml:space="preserve">Autorizado por la Secretaria Subrogante Sra. Carola Herrera </w:t>
      </w:r>
      <w:proofErr w:type="spellStart"/>
      <w:r>
        <w:t>Brummer</w:t>
      </w:r>
      <w:proofErr w:type="spellEnd"/>
      <w:r>
        <w:t>.</w:t>
      </w:r>
    </w:p>
    <w:p w:rsidR="0092111E" w:rsidRDefault="0092111E" w:rsidP="0092111E">
      <w:pPr>
        <w:jc w:val="both"/>
      </w:pPr>
    </w:p>
    <w:p w:rsidR="0092111E" w:rsidRDefault="0092111E" w:rsidP="0092111E">
      <w:pPr>
        <w:jc w:val="both"/>
      </w:pPr>
      <w:r>
        <w:t>Nº 5.821 07.</w:t>
      </w:r>
    </w:p>
    <w:p w:rsidR="0092111E" w:rsidRDefault="0092111E" w:rsidP="0092111E">
      <w:pPr>
        <w:jc w:val="both"/>
      </w:pPr>
    </w:p>
    <w:p w:rsidR="0092111E" w:rsidRDefault="0092111E" w:rsidP="0092111E">
      <w:pPr>
        <w:jc w:val="both"/>
      </w:pPr>
    </w:p>
    <w:p w:rsidR="0092111E" w:rsidRDefault="0092111E" w:rsidP="0092111E">
      <w:pPr>
        <w:jc w:val="both"/>
      </w:pPr>
    </w:p>
    <w:p w:rsidR="0092111E" w:rsidRDefault="0092111E" w:rsidP="0092111E">
      <w:pPr>
        <w:jc w:val="both"/>
      </w:pPr>
      <w:r>
        <w:t>Santiago, nueve de diciembre de dos mil ocho.</w:t>
      </w:r>
    </w:p>
    <w:p w:rsidR="0092111E" w:rsidRDefault="0092111E" w:rsidP="0092111E">
      <w:pPr>
        <w:jc w:val="both"/>
      </w:pPr>
    </w:p>
    <w:p w:rsidR="0092111E" w:rsidRDefault="0092111E" w:rsidP="0092111E">
      <w:pPr>
        <w:jc w:val="both"/>
      </w:pPr>
      <w:r>
        <w:t>En cumplimiento a lo dispuesto en el artículo 785 del Código de Procedimiento Civil, se dicta el siguiente fallo de reemplazo.</w:t>
      </w:r>
    </w:p>
    <w:p w:rsidR="0092111E" w:rsidRDefault="0092111E" w:rsidP="0092111E">
      <w:pPr>
        <w:jc w:val="both"/>
      </w:pPr>
    </w:p>
    <w:p w:rsidR="0092111E" w:rsidRDefault="0092111E" w:rsidP="0092111E">
      <w:pPr>
        <w:jc w:val="both"/>
      </w:pPr>
      <w:r>
        <w:t>VISTOS:</w:t>
      </w:r>
    </w:p>
    <w:p w:rsidR="0092111E" w:rsidRDefault="0092111E" w:rsidP="0092111E">
      <w:pPr>
        <w:jc w:val="both"/>
      </w:pPr>
    </w:p>
    <w:p w:rsidR="0092111E" w:rsidRDefault="0092111E" w:rsidP="0092111E">
      <w:pPr>
        <w:jc w:val="both"/>
      </w:pPr>
      <w:r>
        <w:t>Se reproduce a sentencia de primera instancia, con excepción del fundamento octavo, que se elimina.</w:t>
      </w:r>
    </w:p>
    <w:p w:rsidR="0092111E" w:rsidRDefault="0092111E" w:rsidP="0092111E">
      <w:pPr>
        <w:jc w:val="both"/>
      </w:pPr>
    </w:p>
    <w:p w:rsidR="0092111E" w:rsidRDefault="0092111E" w:rsidP="0092111E">
      <w:pPr>
        <w:jc w:val="both"/>
      </w:pPr>
      <w:r>
        <w:t xml:space="preserve">Y teniendo en su lugar presente las consideraciones contenidas en los motivos cuarto a octavo del fallo de casación que antecede, se revoca la sentencia de veintinueve de septiembre de dos mil tres, escrita a fojas 94, en la parte que rechaza en todas sus partes la </w:t>
      </w:r>
      <w:r>
        <w:lastRenderedPageBreak/>
        <w:t>demanda deducida en lo principal de fojas 1, y se decide en su lugar que ésta queda acogida, declarándose, en consecuencia, terminado el contrato de arrendamiento con opción de compra celebrado entre las partes de este juicio por escritura pública de 21 de marzo de 1997, y se condena a los demandados Sociedad de Trasportes San Marcos Limitada y Juan de Dios Verdugo Sepúlveda a restituir el bien objeto del referido contrato dentro de los cinco días hábiles siguientes a que esta sentencia quede ejecutoriada y a pagar solidariamente a Security Leasing S.A., hoy banco Security, las rentas de arrendamiento correspondientes a los meses de abril de 2000 y hasta aquel en que se verifique la restitución ordenada, descontándose aquéllos en que el bien objeto del contrato permaneció afecto a la medida precautoria de secuestro.</w:t>
      </w:r>
    </w:p>
    <w:p w:rsidR="0092111E" w:rsidRDefault="0092111E" w:rsidP="0092111E">
      <w:pPr>
        <w:jc w:val="both"/>
      </w:pPr>
    </w:p>
    <w:p w:rsidR="0092111E" w:rsidRDefault="0092111E" w:rsidP="0092111E">
      <w:pPr>
        <w:jc w:val="both"/>
      </w:pPr>
      <w:r>
        <w:t>No se condena en costas a la perdidosa por estimarse que ha tenido motivo plausible para oponerse a la pretensión contraria.</w:t>
      </w:r>
    </w:p>
    <w:p w:rsidR="0092111E" w:rsidRDefault="0092111E" w:rsidP="0092111E">
      <w:pPr>
        <w:jc w:val="both"/>
      </w:pPr>
    </w:p>
    <w:p w:rsidR="0092111E" w:rsidRDefault="0092111E" w:rsidP="0092111E">
      <w:pPr>
        <w:jc w:val="both"/>
      </w:pPr>
      <w:r>
        <w:t>Regístrese y devuélvase, con sus agregados.</w:t>
      </w:r>
    </w:p>
    <w:p w:rsidR="0092111E" w:rsidRDefault="0092111E" w:rsidP="0092111E">
      <w:pPr>
        <w:jc w:val="both"/>
      </w:pPr>
    </w:p>
    <w:p w:rsidR="0092111E" w:rsidRDefault="0092111E" w:rsidP="0092111E">
      <w:pPr>
        <w:jc w:val="both"/>
      </w:pPr>
      <w:r>
        <w:t>Redacción a cargo del Ministro señor Juica.</w:t>
      </w:r>
    </w:p>
    <w:p w:rsidR="0092111E" w:rsidRDefault="0092111E" w:rsidP="0092111E">
      <w:pPr>
        <w:jc w:val="both"/>
      </w:pPr>
    </w:p>
    <w:p w:rsidR="0092111E" w:rsidRDefault="0092111E" w:rsidP="0092111E">
      <w:pPr>
        <w:jc w:val="both"/>
      </w:pPr>
      <w:r>
        <w:t>Pronunciado por la Primera Sala de la Corte Suprema por los Ministros Sres. Milton Juica A., Sr. Patricio Valdés A., Sr. Julio Torres A. Sra. Fiscal Mónica Maldonado C. y Abogado Integrante Sr. Óscar Herrera V.</w:t>
      </w:r>
    </w:p>
    <w:p w:rsidR="0092111E" w:rsidRDefault="0092111E" w:rsidP="0092111E">
      <w:pPr>
        <w:jc w:val="both"/>
      </w:pPr>
    </w:p>
    <w:p w:rsidR="0092111E" w:rsidRDefault="0092111E" w:rsidP="0092111E">
      <w:pPr>
        <w:jc w:val="both"/>
      </w:pPr>
      <w:r>
        <w:t>No firma el Abogado Integrante Sr. Herrera, no obstante haber concurrido a la vista del recurso y acuerdo del fallo, por estar ausente.</w:t>
      </w:r>
    </w:p>
    <w:p w:rsidR="0092111E" w:rsidRDefault="0092111E" w:rsidP="0092111E">
      <w:pPr>
        <w:jc w:val="both"/>
      </w:pPr>
    </w:p>
    <w:p w:rsidR="0092111E" w:rsidRDefault="0092111E" w:rsidP="0092111E">
      <w:pPr>
        <w:jc w:val="both"/>
      </w:pPr>
      <w:r>
        <w:t xml:space="preserve">Autorizado por la Secretaria Subrogante Sra. Carola Herrera </w:t>
      </w:r>
      <w:proofErr w:type="spellStart"/>
      <w:r>
        <w:t>Brummer</w:t>
      </w:r>
      <w:proofErr w:type="spellEnd"/>
      <w:r>
        <w:t>.</w:t>
      </w:r>
    </w:p>
    <w:p w:rsidR="0092111E" w:rsidRDefault="0092111E" w:rsidP="0092111E">
      <w:pPr>
        <w:jc w:val="both"/>
      </w:pPr>
    </w:p>
    <w:p w:rsidR="0092111E" w:rsidRDefault="0092111E" w:rsidP="0092111E">
      <w:pPr>
        <w:jc w:val="both"/>
      </w:pPr>
      <w:r>
        <w:t>Nº 5.821 07</w:t>
      </w:r>
    </w:p>
    <w:p w:rsidR="0092111E" w:rsidRDefault="0092111E" w:rsidP="0092111E">
      <w:pPr>
        <w:jc w:val="both"/>
      </w:pPr>
    </w:p>
    <w:p w:rsidR="001415AA" w:rsidRPr="0092111E" w:rsidRDefault="001415AA" w:rsidP="0092111E">
      <w:pPr>
        <w:jc w:val="both"/>
      </w:pPr>
    </w:p>
    <w:sectPr w:rsidR="001415AA" w:rsidRPr="0092111E" w:rsidSect="009F4ED0">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1415AA"/>
    <w:rsid w:val="000E0490"/>
    <w:rsid w:val="001415AA"/>
    <w:rsid w:val="0092111E"/>
    <w:rsid w:val="009F4ED0"/>
    <w:rsid w:val="00A21907"/>
    <w:rsid w:val="00D20699"/>
    <w:rsid w:val="00EA7F08"/>
    <w:rsid w:val="00EE7A4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ED0"/>
  </w:style>
  <w:style w:type="paragraph" w:styleId="Ttulo1">
    <w:name w:val="heading 1"/>
    <w:basedOn w:val="Normal"/>
    <w:link w:val="Ttulo1Car"/>
    <w:uiPriority w:val="9"/>
    <w:qFormat/>
    <w:rsid w:val="001415AA"/>
    <w:pPr>
      <w:spacing w:before="100" w:beforeAutospacing="1" w:after="100" w:afterAutospacing="1" w:line="240" w:lineRule="auto"/>
      <w:outlineLvl w:val="0"/>
    </w:pPr>
    <w:rPr>
      <w:rFonts w:eastAsia="Times New Roman"/>
      <w:b/>
      <w:bCs/>
      <w:kern w:val="36"/>
      <w:sz w:val="48"/>
      <w:szCs w:val="48"/>
      <w:lang w:eastAsia="es-CL"/>
    </w:rPr>
  </w:style>
  <w:style w:type="paragraph" w:styleId="Ttulo2">
    <w:name w:val="heading 2"/>
    <w:basedOn w:val="Normal"/>
    <w:link w:val="Ttulo2Car"/>
    <w:uiPriority w:val="9"/>
    <w:qFormat/>
    <w:rsid w:val="001415AA"/>
    <w:pPr>
      <w:spacing w:before="100" w:beforeAutospacing="1" w:after="100" w:afterAutospacing="1" w:line="240" w:lineRule="auto"/>
      <w:outlineLvl w:val="1"/>
    </w:pPr>
    <w:rPr>
      <w:rFonts w:eastAsia="Times New Roman"/>
      <w:b/>
      <w:bCs/>
      <w:sz w:val="36"/>
      <w:szCs w:val="36"/>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415AA"/>
    <w:rPr>
      <w:rFonts w:eastAsia="Times New Roman"/>
      <w:b/>
      <w:bCs/>
      <w:kern w:val="36"/>
      <w:sz w:val="48"/>
      <w:szCs w:val="48"/>
      <w:lang w:eastAsia="es-CL"/>
    </w:rPr>
  </w:style>
  <w:style w:type="character" w:customStyle="1" w:styleId="Ttulo2Car">
    <w:name w:val="Título 2 Car"/>
    <w:basedOn w:val="Fuentedeprrafopredeter"/>
    <w:link w:val="Ttulo2"/>
    <w:uiPriority w:val="9"/>
    <w:rsid w:val="001415AA"/>
    <w:rPr>
      <w:rFonts w:eastAsia="Times New Roman"/>
      <w:b/>
      <w:bCs/>
      <w:sz w:val="36"/>
      <w:szCs w:val="36"/>
      <w:lang w:eastAsia="es-CL"/>
    </w:rPr>
  </w:style>
  <w:style w:type="character" w:styleId="Hipervnculo">
    <w:name w:val="Hyperlink"/>
    <w:basedOn w:val="Fuentedeprrafopredeter"/>
    <w:uiPriority w:val="99"/>
    <w:semiHidden/>
    <w:unhideWhenUsed/>
    <w:rsid w:val="001415AA"/>
    <w:rPr>
      <w:rFonts w:ascii="Arial" w:hAnsi="Arial" w:cs="Arial" w:hint="default"/>
      <w:b w:val="0"/>
      <w:bCs w:val="0"/>
      <w:strike w:val="0"/>
      <w:dstrike w:val="0"/>
      <w:color w:val="00598F"/>
      <w:sz w:val="15"/>
      <w:szCs w:val="15"/>
      <w:u w:val="none"/>
      <w:effect w:val="none"/>
    </w:rPr>
  </w:style>
  <w:style w:type="character" w:customStyle="1" w:styleId="tribunal">
    <w:name w:val="tribunal"/>
    <w:basedOn w:val="Fuentedeprrafopredeter"/>
    <w:rsid w:val="001415AA"/>
  </w:style>
  <w:style w:type="character" w:customStyle="1" w:styleId="fecha">
    <w:name w:val="fecha"/>
    <w:basedOn w:val="Fuentedeprrafopredeter"/>
    <w:rsid w:val="001415AA"/>
  </w:style>
  <w:style w:type="character" w:customStyle="1" w:styleId="rol">
    <w:name w:val="rol"/>
    <w:basedOn w:val="Fuentedeprrafopredeter"/>
    <w:rsid w:val="001415AA"/>
  </w:style>
  <w:style w:type="character" w:customStyle="1" w:styleId="sactivo">
    <w:name w:val="sactivo"/>
    <w:basedOn w:val="Fuentedeprrafopredeter"/>
    <w:rsid w:val="001415AA"/>
  </w:style>
  <w:style w:type="character" w:customStyle="1" w:styleId="spasivo">
    <w:name w:val="spasivo"/>
    <w:basedOn w:val="Fuentedeprrafopredeter"/>
    <w:rsid w:val="001415AA"/>
  </w:style>
  <w:style w:type="character" w:customStyle="1" w:styleId="recurso">
    <w:name w:val="recurso"/>
    <w:basedOn w:val="Fuentedeprrafopredeter"/>
    <w:rsid w:val="001415AA"/>
  </w:style>
  <w:style w:type="character" w:customStyle="1" w:styleId="resultado">
    <w:name w:val="resultado"/>
    <w:basedOn w:val="Fuentedeprrafopredeter"/>
    <w:rsid w:val="001415AA"/>
  </w:style>
  <w:style w:type="character" w:customStyle="1" w:styleId="descriptor">
    <w:name w:val="descriptor"/>
    <w:basedOn w:val="Fuentedeprrafopredeter"/>
    <w:rsid w:val="001415AA"/>
  </w:style>
  <w:style w:type="character" w:customStyle="1" w:styleId="doctrina">
    <w:name w:val="doctrina"/>
    <w:basedOn w:val="Fuentedeprrafopredeter"/>
    <w:rsid w:val="001415AA"/>
  </w:style>
  <w:style w:type="character" w:customStyle="1" w:styleId="legislacion">
    <w:name w:val="legislacion"/>
    <w:basedOn w:val="Fuentedeprrafopredeter"/>
    <w:rsid w:val="001415AA"/>
  </w:style>
  <w:style w:type="character" w:customStyle="1" w:styleId="ministros">
    <w:name w:val="ministros"/>
    <w:basedOn w:val="Fuentedeprrafopredeter"/>
    <w:rsid w:val="001415AA"/>
  </w:style>
</w:styles>
</file>

<file path=word/webSettings.xml><?xml version="1.0" encoding="utf-8"?>
<w:webSettings xmlns:r="http://schemas.openxmlformats.org/officeDocument/2006/relationships" xmlns:w="http://schemas.openxmlformats.org/wordprocessingml/2006/main">
  <w:divs>
    <w:div w:id="1573466039">
      <w:bodyDiv w:val="1"/>
      <w:marLeft w:val="0"/>
      <w:marRight w:val="0"/>
      <w:marTop w:val="0"/>
      <w:marBottom w:val="0"/>
      <w:divBdr>
        <w:top w:val="none" w:sz="0" w:space="0" w:color="auto"/>
        <w:left w:val="none" w:sz="0" w:space="0" w:color="auto"/>
        <w:bottom w:val="none" w:sz="0" w:space="0" w:color="auto"/>
        <w:right w:val="none" w:sz="0" w:space="0" w:color="auto"/>
      </w:divBdr>
      <w:divsChild>
        <w:div w:id="1066798327">
          <w:marLeft w:val="50"/>
          <w:marRight w:val="0"/>
          <w:marTop w:val="0"/>
          <w:marBottom w:val="0"/>
          <w:divBdr>
            <w:top w:val="none" w:sz="0" w:space="0" w:color="auto"/>
            <w:left w:val="none" w:sz="0" w:space="0" w:color="auto"/>
            <w:bottom w:val="none" w:sz="0" w:space="0" w:color="auto"/>
            <w:right w:val="none" w:sz="0" w:space="0" w:color="auto"/>
          </w:divBdr>
          <w:divsChild>
            <w:div w:id="760757487">
              <w:marLeft w:val="0"/>
              <w:marRight w:val="0"/>
              <w:marTop w:val="0"/>
              <w:marBottom w:val="0"/>
              <w:divBdr>
                <w:top w:val="none" w:sz="0" w:space="0" w:color="auto"/>
                <w:left w:val="none" w:sz="0" w:space="0" w:color="auto"/>
                <w:bottom w:val="none" w:sz="0" w:space="0" w:color="auto"/>
                <w:right w:val="none" w:sz="0" w:space="0" w:color="auto"/>
              </w:divBdr>
            </w:div>
            <w:div w:id="824857987">
              <w:marLeft w:val="0"/>
              <w:marRight w:val="0"/>
              <w:marTop w:val="0"/>
              <w:marBottom w:val="0"/>
              <w:divBdr>
                <w:top w:val="none" w:sz="0" w:space="0" w:color="auto"/>
                <w:left w:val="none" w:sz="0" w:space="0" w:color="auto"/>
                <w:bottom w:val="none" w:sz="0" w:space="0" w:color="auto"/>
                <w:right w:val="none" w:sz="0" w:space="0" w:color="auto"/>
              </w:divBdr>
            </w:div>
            <w:div w:id="390495106">
              <w:marLeft w:val="0"/>
              <w:marRight w:val="0"/>
              <w:marTop w:val="0"/>
              <w:marBottom w:val="0"/>
              <w:divBdr>
                <w:top w:val="none" w:sz="0" w:space="0" w:color="auto"/>
                <w:left w:val="none" w:sz="0" w:space="0" w:color="auto"/>
                <w:bottom w:val="none" w:sz="0" w:space="0" w:color="auto"/>
                <w:right w:val="none" w:sz="0" w:space="0" w:color="auto"/>
              </w:divBdr>
            </w:div>
            <w:div w:id="1724713512">
              <w:marLeft w:val="0"/>
              <w:marRight w:val="0"/>
              <w:marTop w:val="0"/>
              <w:marBottom w:val="0"/>
              <w:divBdr>
                <w:top w:val="none" w:sz="0" w:space="0" w:color="auto"/>
                <w:left w:val="none" w:sz="0" w:space="0" w:color="auto"/>
                <w:bottom w:val="none" w:sz="0" w:space="0" w:color="auto"/>
                <w:right w:val="none" w:sz="0" w:space="0" w:color="auto"/>
              </w:divBdr>
            </w:div>
            <w:div w:id="544829775">
              <w:marLeft w:val="0"/>
              <w:marRight w:val="0"/>
              <w:marTop w:val="0"/>
              <w:marBottom w:val="0"/>
              <w:divBdr>
                <w:top w:val="none" w:sz="0" w:space="0" w:color="auto"/>
                <w:left w:val="none" w:sz="0" w:space="0" w:color="auto"/>
                <w:bottom w:val="none" w:sz="0" w:space="0" w:color="auto"/>
                <w:right w:val="none" w:sz="0" w:space="0" w:color="auto"/>
              </w:divBdr>
            </w:div>
            <w:div w:id="128325680">
              <w:marLeft w:val="0"/>
              <w:marRight w:val="0"/>
              <w:marTop w:val="0"/>
              <w:marBottom w:val="0"/>
              <w:divBdr>
                <w:top w:val="none" w:sz="0" w:space="0" w:color="auto"/>
                <w:left w:val="none" w:sz="0" w:space="0" w:color="auto"/>
                <w:bottom w:val="none" w:sz="0" w:space="0" w:color="auto"/>
                <w:right w:val="none" w:sz="0" w:space="0" w:color="auto"/>
              </w:divBdr>
            </w:div>
            <w:div w:id="213794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3895</Words>
  <Characters>21426</Characters>
  <Application>Microsoft Office Word</Application>
  <DocSecurity>0</DocSecurity>
  <Lines>178</Lines>
  <Paragraphs>50</Paragraphs>
  <ScaleCrop>false</ScaleCrop>
  <Company/>
  <LinksUpToDate>false</LinksUpToDate>
  <CharactersWithSpaces>25271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Maturana Baeza</dc:creator>
  <cp:lastModifiedBy>Your User Name</cp:lastModifiedBy>
  <cp:revision>3</cp:revision>
  <dcterms:created xsi:type="dcterms:W3CDTF">2010-04-21T02:12:00Z</dcterms:created>
  <dcterms:modified xsi:type="dcterms:W3CDTF">2010-04-21T03:19:00Z</dcterms:modified>
</cp:coreProperties>
</file>